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Etihad Airways offers the following options for guests impacted by the Middle East situation. This applies to commercial EY tickets (607) issued on/before 28-Feb-2026.</w:t>
      </w:r>
    </w:p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Conditions:</w:t>
      </w:r>
    </w:p>
    <w:p w:rsidR="004403F9" w:rsidRPr="004403F9" w:rsidRDefault="004403F9" w:rsidP="004403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Flights to/from All Network</w:t>
      </w:r>
    </w:p>
    <w:p w:rsidR="004403F9" w:rsidRPr="004403F9" w:rsidRDefault="004403F9" w:rsidP="004403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Tickets issued on/before 28-Feb-2026</w:t>
      </w:r>
    </w:p>
    <w:p w:rsidR="004403F9" w:rsidRPr="004403F9" w:rsidRDefault="004403F9" w:rsidP="004403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Original travel dates on/before 21-Mar-26</w:t>
      </w:r>
    </w:p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Rebooking:</w:t>
      </w:r>
    </w:p>
    <w:p w:rsidR="004403F9" w:rsidRPr="004403F9" w:rsidRDefault="004403F9" w:rsidP="004403F9">
      <w:pPr>
        <w:shd w:val="clear" w:color="auto" w:fill="FFFFFF"/>
        <w:spacing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cancelled flights:</w:t>
      </w:r>
    </w:p>
    <w:p w:rsidR="004403F9" w:rsidRPr="004403F9" w:rsidRDefault="004403F9" w:rsidP="004403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Standard schedule change policy applies with rebooking permitted on or before 15-May-26</w:t>
      </w:r>
    </w:p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non-cancelled flights - travel on/before 21-Mar-26:</w:t>
      </w:r>
    </w:p>
    <w:p w:rsidR="004403F9" w:rsidRPr="004403F9" w:rsidRDefault="004403F9" w:rsidP="00440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Rebooking permitted free of charge on lowest available RBD in same cabin</w:t>
      </w:r>
    </w:p>
    <w:p w:rsidR="004403F9" w:rsidRPr="004403F9" w:rsidRDefault="004403F9" w:rsidP="00440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Rebooking on or before 15-May-26 on EY ops EY or as per flights details originally booked</w:t>
      </w:r>
    </w:p>
    <w:p w:rsidR="004403F9" w:rsidRPr="004403F9" w:rsidRDefault="004403F9" w:rsidP="00440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Rerouting permitted free of charge back to the origin or any airport within the region on EY ops EY (refer to the Reroute table below)</w:t>
      </w:r>
    </w:p>
    <w:p w:rsidR="004403F9" w:rsidRPr="004403F9" w:rsidRDefault="004403F9" w:rsidP="00440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If TLV is the destination, rerouting permitted to ATH / AMM on EY ops EY</w:t>
      </w:r>
    </w:p>
    <w:p w:rsidR="004403F9" w:rsidRPr="004403F9" w:rsidRDefault="004403F9" w:rsidP="00440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Change fees, no-show fees, and service charges are waived</w:t>
      </w:r>
    </w:p>
    <w:p w:rsidR="004403F9" w:rsidRPr="004403F9" w:rsidRDefault="004403F9" w:rsidP="00440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Ticket re-issue must be completed on/before 21-Mar-26</w:t>
      </w:r>
    </w:p>
    <w:p w:rsidR="004403F9" w:rsidRPr="004403F9" w:rsidRDefault="004403F9" w:rsidP="004403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all other scenarios, fare rules apply</w:t>
      </w:r>
    </w:p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Refund:</w:t>
      </w:r>
    </w:p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cancelled flights:</w:t>
      </w:r>
    </w:p>
    <w:p w:rsidR="004403F9" w:rsidRPr="004403F9" w:rsidRDefault="004403F9" w:rsidP="004403F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Standard schedule change applies</w:t>
      </w:r>
    </w:p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non-cancelled flights:</w:t>
      </w:r>
    </w:p>
    <w:p w:rsidR="004403F9" w:rsidRPr="004403F9" w:rsidRDefault="004403F9" w:rsidP="004403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travel on/before 21-Mar-26:</w:t>
      </w:r>
    </w:p>
    <w:p w:rsidR="004403F9" w:rsidRPr="004403F9" w:rsidRDefault="004403F9" w:rsidP="004403F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Unused tickets – Full refund permitted</w:t>
      </w:r>
    </w:p>
    <w:p w:rsidR="004403F9" w:rsidRPr="004403F9" w:rsidRDefault="004403F9" w:rsidP="004403F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Partially used tickets – Permitted on prorate basis</w:t>
      </w:r>
    </w:p>
    <w:p w:rsidR="004403F9" w:rsidRPr="004403F9" w:rsidRDefault="004403F9" w:rsidP="004403F9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All penalties and service charges waived</w:t>
      </w:r>
    </w:p>
    <w:p w:rsidR="004403F9" w:rsidRPr="004403F9" w:rsidRDefault="004403F9" w:rsidP="004403F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For travel on/after 22-Mar-26: Fare rules apply</w:t>
      </w:r>
    </w:p>
    <w:p w:rsidR="004403F9" w:rsidRPr="004403F9" w:rsidRDefault="004403F9" w:rsidP="004403F9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The PNR must be updated with the remark "CW005-2026 Middle East situation"</w:t>
      </w:r>
    </w:p>
    <w:p w:rsidR="004403F9" w:rsidRPr="004403F9" w:rsidRDefault="004403F9" w:rsidP="004403F9">
      <w:pPr>
        <w:shd w:val="clear" w:color="auto" w:fill="FFFFFF"/>
        <w:spacing w:line="300" w:lineRule="atLeast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6916"/>
      </w:tblGrid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Region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Airports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Americas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ATL, CLT, JFK, ORD, IAD, BOS, YYZ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lastRenderedPageBreak/>
              <w:t> United Kingdom &amp; Ireland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LHR, MAN, DUB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Europe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BRU, MUC, DUS, FRA, AMS, GVA, ZRH, CDG, NCE, CPH, VIE, WAW, KRK, PRG, MAD, BCN, AGP, LIS, FCO, ATH, JTR, JMK, MXP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Central Asia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KZN, EVN, TBS, BAK, BUH, ALA, TAS, SVO, LED, AER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Middle East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AUH, BAH, JED, RUH, DMM, ELQ, MCT, KWI, DOH, AMM, BEY, TLV, CAI, HBE, DBB, MED, IST, DAM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Africa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NBO, CMN, JNB, SEZ, ADD, TUN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Indian Subcontinent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DEL, BOM, AMD, HYD, MAA, BLR, CCJ, COK, TRV, CCU, CMB, KHI, LHE, ISB, MLE, JAI, PEW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Northeast Pacific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SEL, NRT, KIX, PKX, PVG, TPE, HKG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Southeast Pacific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MNL, BKK, CNX, DPS, HKT, HAN, JKT, KUL, KNO, KBV, SIN, PNH</w:t>
            </w:r>
          </w:p>
        </w:tc>
      </w:tr>
      <w:tr w:rsidR="004403F9" w:rsidRPr="004403F9" w:rsidTr="004403F9"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Australia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403F9" w:rsidRPr="004403F9" w:rsidRDefault="004403F9" w:rsidP="004403F9">
            <w:pPr>
              <w:spacing w:after="150" w:line="300" w:lineRule="atLeast"/>
              <w:rPr>
                <w:rFonts w:ascii="Arial" w:eastAsia="Times New Roman" w:hAnsi="Arial" w:cs="Arial"/>
                <w:color w:val="4E4C4A"/>
              </w:rPr>
            </w:pPr>
            <w:r w:rsidRPr="004403F9">
              <w:rPr>
                <w:rFonts w:ascii="Arial" w:eastAsia="Times New Roman" w:hAnsi="Arial" w:cs="Arial"/>
                <w:color w:val="4E4C4A"/>
              </w:rPr>
              <w:t> SYD, MEL</w:t>
            </w:r>
          </w:p>
        </w:tc>
      </w:tr>
    </w:tbl>
    <w:p w:rsidR="001A731D" w:rsidRDefault="004403F9" w:rsidP="004403F9">
      <w:pPr>
        <w:shd w:val="clear" w:color="auto" w:fill="FFFFFF"/>
        <w:spacing w:line="330" w:lineRule="atLeast"/>
        <w:jc w:val="center"/>
        <w:rPr>
          <w:rFonts w:ascii="Arial" w:eastAsia="Times New Roman" w:hAnsi="Arial" w:cs="Arial"/>
          <w:color w:val="4E4C4A"/>
        </w:rPr>
      </w:pPr>
      <w:r w:rsidRPr="004403F9">
        <w:rPr>
          <w:rFonts w:ascii="Arial" w:eastAsia="Times New Roman" w:hAnsi="Arial" w:cs="Arial"/>
          <w:color w:val="4E4C4A"/>
        </w:rPr>
        <w:t>-</w:t>
      </w:r>
      <w:r w:rsidRPr="004403F9">
        <w:rPr>
          <w:rFonts w:ascii="Arial" w:eastAsia="Times New Roman" w:hAnsi="Arial" w:cs="Arial"/>
          <w:b/>
          <w:bCs/>
          <w:color w:val="4E4C4A"/>
        </w:rPr>
        <w:t>End</w:t>
      </w:r>
      <w:r w:rsidRPr="004403F9">
        <w:rPr>
          <w:rFonts w:ascii="Arial" w:eastAsia="Times New Roman" w:hAnsi="Arial" w:cs="Arial"/>
          <w:color w:val="4E4C4A"/>
        </w:rPr>
        <w:t>-</w:t>
      </w:r>
    </w:p>
    <w:p w:rsidR="004403F9" w:rsidRDefault="004403F9" w:rsidP="004403F9">
      <w:pPr>
        <w:shd w:val="clear" w:color="auto" w:fill="FFFFFF"/>
        <w:spacing w:line="330" w:lineRule="atLeast"/>
        <w:jc w:val="center"/>
        <w:rPr>
          <w:rFonts w:ascii="Arial" w:eastAsia="Times New Roman" w:hAnsi="Arial" w:cs="Arial"/>
          <w:color w:val="4E4C4A"/>
        </w:rPr>
      </w:pPr>
    </w:p>
    <w:p w:rsidR="004403F9" w:rsidRDefault="004403F9" w:rsidP="004403F9">
      <w:pPr>
        <w:shd w:val="clear" w:color="auto" w:fill="FFFFFF"/>
        <w:spacing w:line="330" w:lineRule="atLeast"/>
        <w:jc w:val="center"/>
        <w:rPr>
          <w:rFonts w:ascii="Arial" w:eastAsia="Times New Roman" w:hAnsi="Arial" w:cs="Arial"/>
          <w:color w:val="4E4C4A"/>
        </w:rPr>
      </w:pPr>
    </w:p>
    <w:p w:rsidR="004403F9" w:rsidRPr="004403F9" w:rsidRDefault="004403F9" w:rsidP="004403F9">
      <w:pPr>
        <w:shd w:val="clear" w:color="auto" w:fill="FFFFFF"/>
        <w:spacing w:line="330" w:lineRule="atLeast"/>
        <w:rPr>
          <w:rFonts w:ascii="Arial" w:eastAsia="Times New Roman" w:hAnsi="Arial" w:cs="Arial"/>
          <w:color w:val="4E4C4A"/>
        </w:rPr>
      </w:pPr>
      <w:r>
        <w:rPr>
          <w:rFonts w:ascii="Arial" w:eastAsia="Times New Roman" w:hAnsi="Arial" w:cs="Arial"/>
          <w:color w:val="4E4C4A"/>
        </w:rPr>
        <w:t xml:space="preserve">EY Policy Link - </w:t>
      </w:r>
      <w:hyperlink r:id="rId5" w:history="1">
        <w:r>
          <w:rPr>
            <w:rStyle w:val="Hyperlink"/>
          </w:rPr>
          <w:t>Waiver for guests impacted by t</w:t>
        </w:r>
        <w:bookmarkStart w:id="0" w:name="_GoBack"/>
        <w:bookmarkEnd w:id="0"/>
        <w:r>
          <w:rPr>
            <w:rStyle w:val="Hyperlink"/>
          </w:rPr>
          <w:t>he Middle East situation</w:t>
        </w:r>
      </w:hyperlink>
    </w:p>
    <w:sectPr w:rsidR="004403F9" w:rsidRPr="00440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D58"/>
    <w:multiLevelType w:val="multilevel"/>
    <w:tmpl w:val="4248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3125B"/>
    <w:multiLevelType w:val="multilevel"/>
    <w:tmpl w:val="AF3C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C0A71"/>
    <w:multiLevelType w:val="multilevel"/>
    <w:tmpl w:val="897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00992"/>
    <w:multiLevelType w:val="multilevel"/>
    <w:tmpl w:val="9DF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F75E1"/>
    <w:multiLevelType w:val="multilevel"/>
    <w:tmpl w:val="0392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B14B1"/>
    <w:multiLevelType w:val="multilevel"/>
    <w:tmpl w:val="E9A4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767AC"/>
    <w:multiLevelType w:val="multilevel"/>
    <w:tmpl w:val="08F0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816AB"/>
    <w:multiLevelType w:val="multilevel"/>
    <w:tmpl w:val="805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A57808"/>
    <w:multiLevelType w:val="multilevel"/>
    <w:tmpl w:val="4CC4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3C"/>
    <w:rsid w:val="000B7049"/>
    <w:rsid w:val="004403F9"/>
    <w:rsid w:val="00497DA1"/>
    <w:rsid w:val="0071463C"/>
    <w:rsid w:val="0073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6DC6"/>
  <w15:chartTrackingRefBased/>
  <w15:docId w15:val="{AF9EC89B-5BDE-4482-A49B-521F9E37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63C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463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463C"/>
    <w:pPr>
      <w:spacing w:before="100" w:beforeAutospacing="1" w:after="100" w:afterAutospacing="1"/>
    </w:pPr>
  </w:style>
  <w:style w:type="character" w:customStyle="1" w:styleId="sr-only">
    <w:name w:val="sr-only"/>
    <w:basedOn w:val="DefaultParagraphFont"/>
    <w:rsid w:val="004403F9"/>
  </w:style>
  <w:style w:type="character" w:customStyle="1" w:styleId="ecom-pagination-prev-enable">
    <w:name w:val="ecom-pagination-prev-enable"/>
    <w:basedOn w:val="DefaultParagraphFont"/>
    <w:rsid w:val="004403F9"/>
  </w:style>
  <w:style w:type="character" w:customStyle="1" w:styleId="ecom-pagination-next-enable">
    <w:name w:val="ecom-pagination-next-enable"/>
    <w:basedOn w:val="DefaultParagraphFont"/>
    <w:rsid w:val="004403F9"/>
  </w:style>
  <w:style w:type="character" w:customStyle="1" w:styleId="body-2">
    <w:name w:val="body-2"/>
    <w:basedOn w:val="DefaultParagraphFont"/>
    <w:rsid w:val="0044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729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2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7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7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5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876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24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1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36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8258">
                          <w:marLeft w:val="2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16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7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024398">
                      <w:marLeft w:val="3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8906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69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tihadhub.com/en-ae/news/waiver-for-guests-impacted-by-the-middle-east-situ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2</cp:revision>
  <dcterms:created xsi:type="dcterms:W3CDTF">2026-03-06T12:10:00Z</dcterms:created>
  <dcterms:modified xsi:type="dcterms:W3CDTF">2026-03-06T12:10:00Z</dcterms:modified>
</cp:coreProperties>
</file>